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https://www.cnmc.es/expedientes/c060114</w:t>
      </w:r>
    </w:p>
    <w:p>
      <w:r>
        <w:t>Pages translated : 1</w:t>
      </w:r>
    </w:p>
    <w:p/>
    <w:p>
      <w:r>
        <w:rPr>
          <w:b/>
        </w:rPr>
        <w:t>[Pages 1–1]</w:t>
      </w:r>
    </w:p>
    <w:p>
      <w:r>
        <w:t>RESOLUTION</w:t>
        <w:br/>
        <w:t>(File C-0601/14 IDC / QUIRÓN)</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October 23, 2014</w:t>
        <w:br/>
        <w:t>Having reviewed the file processed in accordance with Law 15/2007, of July 3, on the Defense of Competition, concerning the acquisition of exclusive control of the QUIRÓN HOSPITAL GROUP by IDC SALUD, S.L., a company controlled by investment funds managed by CVC CAPITAL PARTNERS SICAV-FIS, S.A. (File C/0601/14 IDC / QUIRÓN),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However, the non-compete agreement included in the purchase contract goes beyond what is reasonably required by the notified concentration operation, not being considered an integral part of it insofar as it exceeds the provinces in which the acquired business is present, as provided in point (15) of the report proposal of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