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https://www.cnmc.es/expedientes/c060214</w:t>
      </w:r>
    </w:p>
    <w:p>
      <w:r>
        <w:t>Pages translated : 1</w:t>
      </w:r>
    </w:p>
    <w:p/>
    <w:p>
      <w:r>
        <w:rPr>
          <w:b/>
        </w:rPr>
        <w:t>[Pages 1–1]</w:t>
      </w:r>
    </w:p>
    <w:p>
      <w:r>
        <w:t>RESOLUTION</w:t>
        <w:br/>
        <w:t>(File No. C-0602/14 AVICEM / KOKI)</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October 9, 2014</w:t>
        <w:br/>
        <w:t>Having reviewed the file processed in accordance with Law 15/2007, of July 3,</w:t>
        <w:br/>
        <w:t>on the Defense of Competition, concerning the acquisition by AVIC</w:t>
        <w:br/>
        <w:t>ELECTROMECHANICAL SYSTEMS Co. Ltd. of exclusive control of KOKI TECHNIK</w:t>
        <w:br/>
        <w:t>TRANSMISSIONS SYSTEMS GmbH, through the acquisition of 100% of the</w:t>
        <w:br/>
        <w:t>shares, (File No. C/0602/14 AVICEM / KOKI), and in agreement with the report and the</w:t>
        <w:br/>
        <w:t>proposal submitted by the Competition Directorate, the Competition Chamber of the</w:t>
        <w:br/>
        <w:t>Council of the National Commission of Markets and Competition has resolved, in</w:t>
        <w:br/>
        <w:t>application of Article 57.2.a) of the aforementioned Law, to authorize the said concentration operation. However, the non-competition agreement included in the sale contract, insofar as it exceeds the automotive components in which the acquired entity is present, is not considered ancillary to the concentration operation and is deemed subject, where applicable, to the regulations on agreements between companies as provided in point (12) of the proposal report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