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https://www.cnmc.es/expedientes/c060514</w:t>
      </w:r>
    </w:p>
    <w:p>
      <w:r>
        <w:t>Pages translated : 1</w:t>
      </w:r>
    </w:p>
    <w:p/>
    <w:p>
      <w:r>
        <w:rPr>
          <w:b/>
        </w:rPr>
        <w:t>[Pages 1–1]</w:t>
      </w:r>
    </w:p>
    <w:p>
      <w:r>
        <w:t>RESOLUTION</w:t>
        <w:br/>
        <w:t>(File C/0605/14 LUNDIN/CANDELARIA/OJOS DEL SALADO)</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30, 2014</w:t>
        <w:br/>
        <w:t>Having reviewed the file processed in accordance with Law 15/2007, of July 3, on the Defense of Competition, concerning the economic concentration operation consisting of the acquisition of exclusive control by Lundin Mining Corporation over Compañía Contractual Minera Candelaria and Compañía Contractual Minera Ojos del Salado, which belong to Freeport McMoRan Inc. (C/0605/14 LUNDIN/CANDELARIA/OJOS DEL SALADO),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However, the copper concentrate purchase agreement between Candelaria and Atlantic Copper S.L.U, insofar as it is extended beyond the maximum of five years provided for in the aforementioned Communication, is considered subject, if applicable, to the regulations on agreements between companies, as provided in the proposal report (section V) of the Directorate of Competition.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