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https://www.cnmc.es/expedientes/c060614</w:t>
      </w:r>
    </w:p>
    <w:p>
      <w:r>
        <w:t>Pages translated : 1</w:t>
      </w:r>
    </w:p>
    <w:p/>
    <w:p>
      <w:r>
        <w:rPr>
          <w:b/>
        </w:rPr>
        <w:t>[Pages 1–1]</w:t>
      </w:r>
    </w:p>
    <w:p>
      <w:r>
        <w:t>RESOLUTION</w:t>
        <w:br/>
        <w:t>(File C/0606/14 EQT / ISLALINK)</w:t>
        <w:br/>
        <w:t>COMPETITION CHAMBER</w:t>
        <w:br/>
        <w:t>President</w:t>
        <w:br/>
        <w:t>Mr. José María Marín Quemada, President</w:t>
        <w:br/>
        <w:t>Counselors</w:t>
        <w:br/>
        <w:t>Ms. María Ortiz Aguilar</w:t>
        <w:br/>
        <w:t>Mr. Fernando Torremocha y García-Sáenz</w:t>
        <w:br/>
        <w:t>Mr. Benigno Valdés Díaz</w:t>
        <w:br/>
        <w:t>Ms. Idoia Zenarrutzabeitia Beldarraín</w:t>
        <w:br/>
        <w:t>Secretary</w:t>
        <w:br/>
        <w:t>Mr. Tomás Suárez-Inclán González</w:t>
        <w:br/>
        <w:t>In Madrid, on October 23, 2014</w:t>
        <w:br/>
        <w:t>Having reviewed the file processed in accordance with Law 15/2007, of July 3, on the Defense of Competition, concerning the economic concentration operation consisting of the acquisition by EQT Infrastructure II GP B.V (EQT Infrastructure) of exclusive control of the company Islalink Submarine Cables, S.L. (ISLALINK), (File C/0606/14 EQT / ISLALINK), and in agreement with the report and proposal submitted by the Competition Directorate, the Competition Chamber of the National Commission of Markets and Competition has resolved, in application of Article 57.2.a) of the aforementioned Law, to authorize the said concentration operation.</w:t>
        <w:br/>
        <w:t>This Resolution shall be communicated to the Competition Directorate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