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https://www.cnmc.es/expedientes/c060714</w:t>
      </w:r>
    </w:p>
    <w:p>
      <w:r>
        <w:t>Pages translated : 1</w:t>
      </w:r>
    </w:p>
    <w:p/>
    <w:p>
      <w:r>
        <w:rPr>
          <w:b/>
        </w:rPr>
        <w:t>[Pages 1–1]</w:t>
      </w:r>
    </w:p>
    <w:p>
      <w:r>
        <w:t>RESOLUTION</w:t>
        <w:br/>
        <w:t>(File C-0607/14 GRIFOLS - NOVARTIS ASSETS)</w:t>
        <w:br/>
        <w:t>COMPETITION CHAMBER</w:t>
        <w:br/>
        <w:t>President</w:t>
        <w:br/>
        <w:t>Mr. José María Marín Quemada, President</w:t>
        <w:br/>
        <w:t>Counselors</w:t>
        <w:br/>
        <w:t>Ms. María Ortiz Aguilar</w:t>
        <w:br/>
        <w:t>Mr. Fernando Torremocha y García-Sáenz</w:t>
        <w:br/>
        <w:t>Mr. Benigno Valdés Díaz</w:t>
        <w:br/>
        <w:t>Ms. Idoia Zenarrutzabeitia Beldarraín</w:t>
        <w:br/>
        <w:t>Secretary</w:t>
        <w:br/>
        <w:t>Mr. Tomás Suárez-Inclán González</w:t>
        <w:br/>
        <w:t>In Madrid, on March 25, 2014</w:t>
        <w:br/>
        <w:t>Having reviewed the file processed in accordance with Law 15/2007, of July 3, on the Defense of Competition, regarding the economic concentration operation consisting of the acquisition by GRIFOLS, S.A. (GRIFOLS) of the blood transfusion diagnostics business using nucleic acid amplification technology (NAT) from NOVARTIS INTERNATIONAL AG (NOVARTIS). (File C-0607/14 GRIFOLS - NOVARTIS ASSETS), and being in agreement with the report and proposal submitted by the Competition Directorate, the Competition Chamber of the National Commission on Markets and Competition has resolved, in application of Article 57.2.a) of the aforementioned Law, to authorize the said concentration operation. However, taking into account the Communication from the European Commission regarding restrictions directly linked to the execution of a concentration and necessary for that purpose (2005/C 56/03) and the practice of national competition authorities, it is agreed that the confidentiality agreement shall be excluded from the authorization, only insofar as it exceeds three years in duration. 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