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https://www.cnmc.es/expedientes/c060814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No. C/0608/14 SPRINGWATER / MIRÓ (Assets))</w:t>
        <w:br/>
        <w:t>COMPETITION CHAMBER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November 6, 2014</w:t>
        <w:br/>
        <w:t>Having reviewed the file processed in accordance with Law 15/2007, of July 3,</w:t>
        <w:br/>
        <w:t>on the Defense of Competition, concerning the economic concentration operation</w:t>
        <w:br/>
        <w:t>consisting of the acquisition of exclusive control over the productive unit of</w:t>
        <w:br/>
        <w:t>ESTABLIMENTS MIRÓ, S.L. by SPRINGWATER CAPITAL LLC</w:t>
        <w:br/>
        <w:t>(SPRINGWATER), through the instrumental company KABAENA DIRECTORSHIP,</w:t>
        <w:br/>
        <w:t>S.L. (C/0608/14 SPRINGWATER/MIRÓ (Assets)), and in agreement with the report</w:t>
        <w:br/>
        <w:t>and the proposal submitted by the Directorate of Competition, the Competition Chamber of</w:t>
        <w:br/>
        <w:t>the National Commission of Markets and Competition has resolved, in</w:t>
        <w:br/>
        <w:t>application of Article 57.2.a) of the aforementioned Law, to authorize the said</w:t>
        <w:br/>
        <w:t>concentration operation.</w:t>
        <w:br/>
        <w:t>This Resolution shall be communicated to the Directorate of Competition of the</w:t>
        <w:br/>
        <w:t>National Commission of Markets and Competition and notified to the interested party, informing them</w:t>
        <w:br/>
        <w:t>that it concludes the administrative procedure and that a contentious-administrative appeal may be filed against it before the National Court, within two</w:t>
        <w:br/>
        <w:t>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