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https://www.cnmc.es/expedientes/c060914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C/0609/14 PFIZER/BAXTER Assets)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October 30, 2014</w:t>
        <w:br/>
        <w:t>Having reviewed the file processed in accordance with Law 15/2007, of July 3, on the</w:t>
        <w:br/>
        <w:t>Defense of Competition, regarding the economic concentration operation</w:t>
        <w:br/>
        <w:t>consisting of the acquisition by PFIZER INC., through its subsidiaries Pfizer</w:t>
        <w:br/>
        <w:t>Ireland Pharmaceuticals and Pfizer Manufacturing Austria GmbH, of the two vaccines of</w:t>
        <w:br/>
        <w:t>BAXTER INTERNATIONAL INC. and part of its facilities in Orth, Austria</w:t>
        <w:br/>
        <w:t>(C-0609/14 PFIZER/BAXTER Assets), and being in agreement with the report and the</w:t>
        <w:br/>
        <w:t>proposal submitted by the Competition Directorate, the Competition Chamber of the</w:t>
        <w:br/>
        <w:t>National Commission of Markets and Competition has resolved, in</w:t>
        <w:br/>
        <w:t>application of Article 57.2.a) of the aforementioned Law, to authorize the said</w:t>
        <w:br/>
        <w:t>concentration operation. However, the non-solicitation agreement benefiting the seller</w:t>
        <w:br/>
        <w:t>is not considered ancillary to the notified concentration operation and, therefore, will be</w:t>
        <w:br/>
        <w:t>subject to the applicable regulations on agreements between companies, as it is not</w:t>
        <w:br/>
        <w:t>deemed necessary for the execution of the operation. Regarding the temporary service</w:t>
        <w:br/>
        <w:t>agreements, since they have not yet been negotiated by the parties, it cannot be assessed</w:t>
        <w:br/>
        <w:t>whether they constitute ancillary and necessary restrictions for the execution of the</w:t>
        <w:br/>
        <w:t>operation, and thus they will also be subject to the regulations on agreements between</w:t>
        <w:br/>
        <w:t>companies. All of this, in accordance with the provisions of paragraphs 19 and 20 of the</w:t>
        <w:br/>
        <w:t>proposal report from the Competition Directorate.</w:t>
        <w:br/>
        <w:t>This Resolution shall be communicated to the Competition Directorate of the National</w:t>
        <w:br/>
        <w:t>Commission of Markets and Competition and notified to the interested party, informing</w:t>
        <w:br/>
        <w:t>them that it concludes the administrative process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