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https://www.cnmc.es/expedientes/c061014</w:t>
      </w:r>
    </w:p>
    <w:p>
      <w:r>
        <w:t>Pages translated : 1</w:t>
      </w:r>
    </w:p>
    <w:p/>
    <w:p>
      <w:r>
        <w:rPr>
          <w:b/>
        </w:rPr>
        <w:t>[Pages 1–1]</w:t>
      </w:r>
    </w:p>
    <w:p>
      <w:r>
        <w:t>RESOLUTION</w:t>
        <w:br/>
        <w:t>(File C/0610/14 AUCHAN/APF/LA ZENIA)</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November 6, 2014</w:t>
        <w:br/>
        <w:t>Having reviewed the file processed in accordance with Law 15/2007, of July 3, on the Defense of Competition, regarding the economic concentration operation consisting of the joint control acquisition of C.C. LA ZENIA, S.L. by ALASKA PERMANENT FUND (“APF”) and the AUCHAN group. Previously, this company was exclusively controlled by the AUCHAN group (C/0610/14 AUCHAN/APF/LA ZENIA),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However, the agreement reached between AUCHAN and APF regarding the future transfer of their shares and interests in C.C. LA ZENIA is not necessary for the execution of the notified operation, so it cannot be considered an ancillary restriction to it, being in this case subject to the applicable regulations on agreements between companies, in accordance with the provisions of paragraph 9 of the report proposal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