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https://www.cnmc.es/expedientes/c061114</w:t>
      </w:r>
    </w:p>
    <w:p>
      <w:r>
        <w:t>Pages translated : 1</w:t>
      </w:r>
    </w:p>
    <w:p/>
    <w:p>
      <w:r>
        <w:rPr>
          <w:b/>
        </w:rPr>
        <w:t>[Pages 1–1]</w:t>
      </w:r>
    </w:p>
    <w:p>
      <w:r>
        <w:t xml:space="preserve">RESOLUTION  </w:t>
        <w:br/>
        <w:t xml:space="preserve">(File C/0611/14 BBVA/CX)  </w:t>
        <w:br/>
        <w:t>COMPETITION CHAMBER</w:t>
      </w:r>
    </w:p>
    <w:p>
      <w:r>
        <w:t xml:space="preserve">President  </w:t>
        <w:br/>
        <w:t>Mr. José María Marín Quemada, President</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January 22, 2015</w:t>
      </w:r>
    </w:p>
    <w:p>
      <w:r>
        <w:t>Having reviewed the file processed in accordance with Law 15/2007, of July 3, on the Defense of Competition, concerning the economic concentration operation consisting of the acquisition of exclusive control of Catalunya Banc, S.A. (CX) by Banco Bilbao Vizcaya Argentaria, S.A. (BBVA), through the acquisition of all its share capital. (File C/0611/14 BBVA/CATALUNYA BANC),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