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https://www.cnmc.es/expedientes/c061414</w:t>
      </w:r>
    </w:p>
    <w:p>
      <w:r>
        <w:t>Pages translated : 2</w:t>
      </w:r>
    </w:p>
    <w:p/>
    <w:p>
      <w:r>
        <w:rPr>
          <w:b/>
        </w:rPr>
        <w:t>[Pages 1–2]</w:t>
      </w:r>
    </w:p>
    <w:p>
      <w:r>
        <w:t xml:space="preserve">MATERIAL ERROR RESOLUTION  </w:t>
        <w:br/>
        <w:t xml:space="preserve">(File No. C/0614/14 ATLAS/ATP)  </w:t>
        <w:br/>
        <w:t>COMPETITION CHAMBER</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December 4, 2014</w:t>
      </w:r>
    </w:p>
    <w:p>
      <w:r>
        <w:t>On November 21, 2014, the Resolution of the Council in the Competition Chamber of the CNMC was notified, authorizing the operation of acquisition by ATLAS HOLDINGS LLC of control over ALCOA TRANSFORMACIÓN DE PRODUCTOS, S.L. through the acquisition of 100% of the shares from ALCOA INVERSIONES ESPAÑA, S.L.</w:t>
      </w:r>
    </w:p>
    <w:p>
      <w:r>
        <w:t>A material error having been detected in the proposal report of the Competition Directorate that preceded said Resolution regarding a non-accessory restriction not reflected in the notification, it is proceeded to its correction, in accordance with Article 105.2 of Law 30/1992, of November 26, (BOE of 27) on the Legal Regime of Public Administrations and the Common Administrative Procedure.</w:t>
      </w:r>
    </w:p>
    <w:p>
      <w:r>
        <w:t>Article 53.4 of Law 15/2007 on the Defense of Competition states that material and arithmetic errors may be rectified at any time by the Council of the CNC.</w:t>
      </w:r>
    </w:p>
    <w:p>
      <w:r>
        <w:t>In light of the above, it is noted that the error detected in the proposal report of the Competition Directorate and consequently in the Resolution of the Council is a mere material transcription error, therefore it is proposed to correct the aforementioned Resolution of the Council by removing the following: “(1) the non-solicitation agreement benefiting the seller which is not considered necessary for the execution of the operation and consequently, will be subject to the regulations on agreements between companies” and it should say: “Taking into account the Communication from the European Commission on restrictions directly linked to the execution of a concentration and necessary for that purpose (2005/C 56/03) and the practice of national competition authorities regarding the Transitional Support Services Contract, this Directorate does not know the term that will be established for it, therefore any term exceeding 5 years is not considered necessary and accessory to the operation, thus it will be subject to the regulations on agreements between companies.”</w:t>
      </w:r>
    </w:p>
    <w:p>
      <w:r>
        <w:t>Attached to this Resolution for the correction of errors is the Proposal Report of the Competition Directorate, once corrected.</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