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https://www.cnmc.es/expedientes/c061514</w:t>
      </w:r>
    </w:p>
    <w:p>
      <w:r>
        <w:t>Pages translated : 1</w:t>
      </w:r>
    </w:p>
    <w:p/>
    <w:p>
      <w:r>
        <w:rPr>
          <w:b/>
        </w:rPr>
        <w:t>[Pages 1–1]</w:t>
      </w:r>
    </w:p>
    <w:p>
      <w:r>
        <w:t>RESOLUTION</w:t>
        <w:br/>
        <w:t>(File C/0615/14 NCG BANCO/ CXG AVIVA)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Barcelona, on November 27, 2014</w:t>
        <w:br/>
        <w:t>Having reviewed the file processed in accordance with Law 15/2007, of July 3, on the Defense of Competition, concerning the economic concentration operation consisting of the acquisition by NCG BANCO, S.A. (hereinafter, NCG BANCO) of CXG AVIVA CORPORACIÓN CAIXA GALICIA DE SEGUROS Y REASEGUROS, S.A. (hereinafter, CXG AVIVA), (File C/0615/14 NCG BANCO/ CXG AVIVA),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