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https://www.cnmc.es/expedientes/c061814</w:t>
      </w:r>
    </w:p>
    <w:p>
      <w:r>
        <w:t>Pages translated : 2</w:t>
      </w:r>
    </w:p>
    <w:p/>
    <w:p>
      <w:r>
        <w:rPr>
          <w:b/>
        </w:rPr>
        <w:t>[Pages 1–2]</w:t>
      </w:r>
    </w:p>
    <w:p>
      <w:r>
        <w:t>RESOLUTION</w:t>
        <w:br/>
        <w:t>(File C/0618/14 INTERNATIONAL CAR RENTAL/ GOLDCAR)</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November 27, 2014</w:t>
        <w:br/>
        <w:t>Having reviewed the file processed in accordance with Law 15/2007, of July 3, on the Defense of Competition, concerning the economic concentration operation consisting of the exclusive control acquisition of the GOLDCAR Group by INTERNATIONAL CAR RENTALS, S.a.r.L., which is in turn controlled by an investment fund managed by INVESTINDUSTRIAL ADVISORS LTD. (C/0618/14 INTERNATIONAL CAR RENTAL/ GOLDCAR), and in agreement with the report and the proposal submitted by the Competition Directorate, the Competition Chamber of the National Commission on Markets and Competition has resolved, pursuant to Article 57.2.a) of the aforementioned Law, to authorize the said concentration operation. However, taking into account the practice of the CNMC and what is established in the Commission Communication on restrictions directly linked to the execution of a concentration and necessary for that purpose (2005/C 56/03), this Chamber considers that the content and duration of the non-competition agreement, as it affects Spain, goes beyond what is reasonably required by the notified concentration operation, not forming part of the operation in what exceeds the current activity of the transferred companies (car rental without driver for companies or individuals, short or long term) and for a duration of 2 years. The non-solicitation and confidentiality agreement, as it affects Spain, is also not considered an integral part of the operation in what exceeds 2 years. Regarding the agreement related to the lease of real estate, it is not necessary for the execution of the operation notified and therefore cannot be considered an ancillary restriction to it, being subject, where applicable, to the regulations applicable to agreements between companies. All of this, in accordance with the provisions set forth in the proposal report of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