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https://www.cnmc.es/expedientes/c062114</w:t>
      </w:r>
    </w:p>
    <w:p>
      <w:r>
        <w:t>Pages translated : 1</w:t>
      </w:r>
    </w:p>
    <w:p/>
    <w:p>
      <w:r>
        <w:rPr>
          <w:b/>
        </w:rPr>
        <w:t>[Pages 1–1]</w:t>
      </w:r>
    </w:p>
    <w:p>
      <w:r>
        <w:t>RESOLUTION</w:t>
        <w:br/>
        <w:t>(File No. C-0621/14 LUBRIZOL/WARWICK)</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December 11, 2014</w:t>
        <w:br/>
        <w:t>Having reviewed the file processed in accordance with Law 15/2007, of July 3, on the Defense of Competition, regarding the economic concentration operation consisting of the acquisition of exclusive control by LUBRIZOL over WARWICK, through the purchase of all its shares (File No. C-0621/14 LUBRIZOL/WARWICK),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 However, taking into account the practice of the CNMC and what is established in the Commission Communication on restrictions directly linked to the execution of a concentration and necessary for that purpose (2005/C 56/03), this Competition Chamber considers that any term exceeding 5 years of the Confidentiality Agreement should be excluded from the authorization as it is not deemed necessary and ancillary to the operation, and consequently, it will be subject to the regulations on agreements between companies, as provided in point (21) of the report proposal from the Competition Directorate.</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