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https://www.cnmc.es/expedientes/c062214</w:t>
      </w:r>
    </w:p>
    <w:p>
      <w:r>
        <w:t>Pages translated : 1</w:t>
      </w:r>
    </w:p>
    <w:p/>
    <w:p>
      <w:r>
        <w:rPr>
          <w:b/>
        </w:rPr>
        <w:t>[Pages 1–1]</w:t>
      </w:r>
    </w:p>
    <w:p>
      <w:r>
        <w:t>RESOLUTION</w:t>
        <w:br/>
        <w:t>(File No. C/0622/14 MASMOVIL IBERCOM / XTRA TELECOM, TECNOLOGIAS INTEGRALES and THE PHONE HOUSE)</w:t>
      </w:r>
    </w:p>
    <w:p>
      <w:r>
        <w:t>COMPETITION CHAMBER</w:t>
      </w:r>
    </w:p>
    <w:p>
      <w:r>
        <w:t>President</w:t>
        <w:br/>
        <w:t>Mr. José María Marín Quemada, President</w:t>
      </w:r>
    </w:p>
    <w:p>
      <w:r>
        <w:t>Counselors</w:t>
        <w:br/>
        <w:t>Ms. María Ortiz Aguilar</w:t>
        <w:br/>
        <w:t>Mr. Fernando Torremocha y García-Sáenz</w:t>
        <w:br/>
        <w:t>Mr. Benigno Valdés Díaz</w:t>
        <w:br/>
        <w:t>Ms. Idoia Zenarrutzabeitia Beldarraín</w:t>
      </w:r>
    </w:p>
    <w:p>
      <w:r>
        <w:t>Secretary</w:t>
        <w:br/>
        <w:t>Mr. Tomás Suárez-Inclán González</w:t>
      </w:r>
    </w:p>
    <w:p>
      <w:r>
        <w:t>In Barcelona, on February 5, 2015</w:t>
      </w:r>
    </w:p>
    <w:p>
      <w:r>
        <w:t>Having reviewed the file processed in accordance with Law 15/2007, of July 3, on the Defense of Competition, regarding the economic concentration operation consisting of the acquisition by MÁSMÓVIL IBERCOM, S.A. (MASMOVIL IBERCOM) of exclusive control of XTRA TELECOM, S.L.U. and TECNOLOGÍAS INTEGRALES DE LA COMUNICACIÓN, S.L.U. (File No. C/0622/14 MASMOVIL IBERCOM / XTRA TELECOM, TECNOLOGIAS INTEGRALES and THE PHONE HOUSE), and being in agreement with the report and proposal submitted by the Directorate of Competition, the Competition Chamber of the National Commission of Markets and Competition has resolved, in application of Article 57.2.a) of the aforementioned Law, to authorize the said concentration operation. All this without prejudice to the fact that MASMOVIL IBERCOM has violated the provisions of Article 9.1 of the LDC, as this concentration operation was executed prior to its notification to the CNMC.</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