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https://www.cnmc.es/expedientes/c062514</w:t>
      </w:r>
    </w:p>
    <w:p>
      <w:r>
        <w:t>Pages translated : 1</w:t>
      </w:r>
    </w:p>
    <w:p/>
    <w:p>
      <w:r>
        <w:rPr>
          <w:b/>
        </w:rPr>
        <w:t>[Pages 1–1]</w:t>
      </w:r>
    </w:p>
    <w:p>
      <w:r>
        <w:t>RESOLUTION</w:t>
        <w:br/>
        <w:t>(File C/0625/14 INVEST ZIUR / MBHA)</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December 11, 2014</w:t>
        <w:br/>
        <w:t>Having reviewed the file processed in accordance with Law 15/2007, of July 3, on the Defense of Competition, concerning the economic concentration operation consisting of the acquisition by Invest Ziur, S.L. (INVESTZIUR) of exclusive control over Muelles y Ballestas Hispano-Alemanas, S.A. (MBHA) (File C/0625/14 INVEST ZIUR / MBHA),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 However, taking into account the Communication from the European Commission regarding restrictions directly linked to the execution of a concentration and necessary for that purpose (2005/C 56/03) and the practice of national competition authorities, this Chamber considers that the non-solicitation agreement, to the extent that it exceeds two years, should be excluded from the authorization, as it is deemed non-accessory to the notified concentration operation, and, if applicable, subject to the regulations applicable to agreements between companies, as provided in point (13) of the report from the Competition Directorate.</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