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https://www.cnmc.es/expedientes/c062814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C-0628/14 UMICORE/TODINI)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December 18, 2014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acquisition by UMICORE S.A./N.V., through its Luxembourg subsidiary</w:t>
        <w:br/>
        <w:t>UMICORE INTERNATIONAL, of 52% of the share capital of TODINI</w:t>
        <w:br/>
        <w:t>ANDCO.SPA. (File C-0628/14 UMICORE/TODINI), and in agreement with the</w:t>
        <w:br/>
        <w:t>report and proposal submitted by the Competition Directorate, the Competition Chamber of the National Commission on Markets and Competition</w:t>
        <w:br/>
        <w:t>has resolved to archive the concentration operation in application of Article 57.2.e) of the</w:t>
        <w:br/>
        <w:t>aforementioned Law, as it does not meet the notification thresholds established in Article 8.1 a)</w:t>
        <w:br/>
        <w:t>and b) of Law 15/2007 on the Defense of Competition.</w:t>
        <w:br/>
        <w:t>This Resolution shall be communicated to the Competition Directorate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