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https://www.cnmc.es/expedientes/c062914</w:t>
      </w:r>
    </w:p>
    <w:p>
      <w:r>
        <w:t>Pages translated : 1</w:t>
      </w:r>
    </w:p>
    <w:p/>
    <w:p>
      <w:r>
        <w:rPr>
          <w:b/>
        </w:rPr>
        <w:t>[Pages 1–1]</w:t>
      </w:r>
    </w:p>
    <w:p>
      <w:r>
        <w:t>RESOLUTION</w:t>
        <w:br/>
        <w:t>(File No. C/0629/14 CASER/CMV/CMP)</w:t>
        <w:br/>
        <w:t>COMPETITION CHAMBER</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December 18, 2014</w:t>
        <w:br/>
        <w:t>Having reviewed the file processed in accordance with Law 15/2007, of July 3, on the Defense of Competition, regarding the economic concentration operation consisting of the acquisition of exclusive control of CASER MEDITERRANEO VIDA COMPAÑÍA DE SEGUROS Y REASEGUROS, S.A. (“CMV”) and CASER MEDITERRANEO PENSIONES ENTIDAD GESTORA DE FONDOS DE PENSIONES, S.A (“CMP”) by CAJA DE SEGUROS REUNIDOS, COMPAÑÍA DE SEGUROS Y REASEGUROS, S.A. (“CASER”). Currently, CMV and CMP are under the joint control of CASER and BANCO MARE NOSTRUM, S.A (“BMN”) (File No. C/0629/14 CASER/CMV/CMP), and in agreement with the report and proposal submitted by the Directorate of Competition, the Competition Chamber of the National Commission of Markets and Competition has resolved, in application of Article 57.2.a) of the aforementioned Law, to authorize the said concentration operation.</w:t>
        <w:br/>
        <w:t>This Resolution shall be communicated to the Directorate of Competition of the National Commission of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