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https://www.cnmc.es/expedientes/c063114</w:t>
      </w:r>
    </w:p>
    <w:p>
      <w:r>
        <w:t>Pages translated : 1</w:t>
      </w:r>
    </w:p>
    <w:p/>
    <w:p>
      <w:r>
        <w:rPr>
          <w:b/>
        </w:rPr>
        <w:t>[Pages 1–1]</w:t>
      </w:r>
    </w:p>
    <w:p>
      <w:r>
        <w:t>RESOLUTION</w:t>
        <w:br/>
        <w:t>(File No. C-0631/14 WATLING/MIRION)</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January 15, 2015</w:t>
        <w:br/>
        <w:t xml:space="preserve">Having reviewed the file processed in accordance with Law 15/2007, of July 3, on the Defense of Competition, concerning the economic concentration operation consisting of the acquisition by WATLING STREET CAPITAL PARTNERS LLP of exclusive control over MIRION TECHNOLOGIES, INC. (File No. C-0631/14 WATLING/MIRION),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However, </w:t>
        <w:br/>
        <w:t>Taking into account the legislation and national and community precedents, as well as the Commission's Communication on restrictions directly linked to the execution of a concentration and necessary for that purpose (2005/C 56/03), the non-compete agreement regarding those businesses in which MIRION did not operate prior to the operation must be excluded from the authorization, as it is not considered necessary and ancillary to the operation, and consequently, it will be subject to the regulations on agreements between companies. All of this in accordance with what is stated in paragraph (17) of the aforementioned report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