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https://www.cnmc.es/expedientes/c063415</w:t>
      </w:r>
    </w:p>
    <w:p>
      <w:r>
        <w:t>Pages translated : 2</w:t>
      </w:r>
    </w:p>
    <w:p/>
    <w:p>
      <w:r>
        <w:rPr>
          <w:b/>
        </w:rPr>
        <w:t>[Pages 1–2]</w:t>
      </w:r>
    </w:p>
    <w:p>
      <w:r>
        <w:t>RESOLUTION</w:t>
        <w:br/>
        <w:t>(File C/0634/15 DIA/ EROSKI (Assets)</w:t>
        <w:br/>
        <w:t>COMPETITION CHAMBER</w:t>
        <w:br/>
        <w:t>President</w:t>
        <w:br/>
        <w:t>Mr. José María Marín Quemada</w:t>
        <w:br/>
        <w:t>Counselors</w:t>
        <w:br/>
        <w:t>Ms. María Ortiz Aguilar</w:t>
        <w:br/>
        <w:t>Mr. Fernando Torremocha y García-Sáenz</w:t>
        <w:br/>
        <w:t>Mr. Benigno Valdés Díaz</w:t>
        <w:br/>
        <w:t>Secretary</w:t>
        <w:br/>
        <w:t>Mr. Tomás Suárez-Inclán González</w:t>
        <w:br/>
        <w:t>In Barcelona, on April 9, 2015</w:t>
        <w:br/>
        <w:t>Having reviewed the file processed in accordance with Law 15/2007, of July 3, on the Defense of Competition, regarding the economic concentration operation consisting of the acquisition of exclusive control over the assets linked to the operation of 160 retail distribution commercial establishments of the EROSKI group by DISTRIBUIDORA INTERNACIONAL DE ALIMENTACIÓN, S.A. (DIA). (File C/0634/15 DIA/ EROSKI (Assets), and in agreement with the report and proposal submitted by the Directorate of Competition, the Competition Chamber of the Council of the National Commission of Markets and Competition has resolved, in application of Article 57.2.b) of the aforementioned Law, to subordinate the authorization of the concentration to the fulfillment of the commitments proposed by DIA. However, taking into account the legislation and national and community precedents as well as what is established in the Commission Communication on restrictions directly linked to the execution of a concentration and necessary for that purpose (2005/C 56/03), this Competition Chamber considers that the duration of the non-compete agreement goes beyond what is reasonably required by the notified concentration operation, not forming part of it for what exceeds 2 years from the signing of the closing document. All of this in accordance with what is indicated in paragraph (19) of the aforementioned report proposal of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