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https://www.cnmc.es/expedientes/c063515</w:t>
      </w:r>
    </w:p>
    <w:p>
      <w:r>
        <w:t>Pages translated : 1</w:t>
      </w:r>
    </w:p>
    <w:p/>
    <w:p>
      <w:r>
        <w:rPr>
          <w:b/>
        </w:rPr>
        <w:t>[Pages 1–1]</w:t>
      </w:r>
    </w:p>
    <w:p>
      <w:r>
        <w:t>RESOLUTION</w:t>
        <w:br/>
        <w:t>(File C/0635/15 MASMOVIL IBERCOM / EMBOU-EBESIS)</w:t>
        <w:br/>
        <w:t>COMPETITION CHAMBER</w:t>
        <w:br/>
        <w:t>President</w:t>
        <w:br/>
        <w:t>Mr. José María Marín Quemada, President</w:t>
        <w:br/>
        <w:t>Counselors</w:t>
        <w:br/>
        <w:t>Ms. María Ortiz Aguilar</w:t>
        <w:br/>
        <w:t>Mr. Benigno Valdés Díaz</w:t>
        <w:br/>
        <w:t>Ms. Idoia Zenarrutzabeitia Beldarraín</w:t>
        <w:br/>
        <w:t>Secretary</w:t>
        <w:br/>
        <w:t>Mr. Tomás Suárez-Inclán González</w:t>
        <w:br/>
        <w:t>In Madrid, on February 26, 2015</w:t>
        <w:br/>
        <w:t>Having reviewed the file processed in accordance with Law 15/2007, of July 3, on the Defense of Competition, concerning the economic concentration operation consisting of the acquisition by MÁSMÓVIL IBERCOM, S.A. (MASMOVIL IBERCOM) of exclusive control of EMBOU NUEVAS TECNOLOGÍAS, S.L. (EMBOU) and EBESIS SISTEMAS, S.L. (EBESIS) (C/0635/15 MASMOVIL IBERCOM / EMBOU-EBESIS),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 However, taking into account the Communication from the European Commission regarding restrictions directly linked to the execution of a concentration and necessary for that purpose (2005/C 56/03) and the practice of national competition authorities, the non-compete agreement, the non-solicitation agreement, and the obligation of permanence of the managers, to the extent that they exceed two years, which are considered non-accessory to the notified concentration operation, shall be excluded from the authorization and shall be subject, where applicable, to the regulations on agreements between companies. All of this in accordance with what is indicated in paragraphs (13) (14) of the aforementioned report proposal from the Competition Directorate.</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