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https://www.cnmc.es/expedientes/c063615</w:t>
      </w:r>
    </w:p>
    <w:p>
      <w:r>
        <w:t>Pages translated : 1</w:t>
      </w:r>
    </w:p>
    <w:p/>
    <w:p>
      <w:r>
        <w:rPr>
          <w:b/>
        </w:rPr>
        <w:t>[Pages 1–1]</w:t>
      </w:r>
    </w:p>
    <w:p>
      <w:r>
        <w:t>RESOLUTION</w:t>
        <w:br/>
        <w:t>(File No. C/0636/15 PPG/AXSON REVOCOAT)</w:t>
        <w:br/>
        <w:t>COMPETITION CHAMBER</w:t>
        <w:br/>
        <w:t>President</w:t>
        <w:br/>
        <w:t>Mr. José María Marín Quemada, President</w:t>
        <w:br/>
        <w:t>Counselors</w:t>
        <w:br/>
        <w:t>Ms. María Ortiz Aguilar</w:t>
        <w:br/>
        <w:t>Mr. Benigno Valdés Díaz</w:t>
        <w:br/>
        <w:t>Ms. Idoia Zenarrutzabeitia Beldarraín</w:t>
        <w:br/>
        <w:t>Secretary</w:t>
        <w:br/>
        <w:t>Mr. Tomás Suárez-Inclán González</w:t>
        <w:br/>
        <w:t>In Madrid, on February 26, 2015</w:t>
        <w:br/>
        <w:t>Having reviewed the file processed in accordance with Law 15/2007, of July 3, on the Defense of Competition, concerning the economic concentration operation consisting of the acquisition by PPG HOLDCO SAS (PPG) of the entire share capital of AXSON SAS and its subsidiaries active in the production and sale of adhesives, sealants, and soundproofing materials for the automotive industry, which will hereinafter be referred to as AXSON REVOCOAT (AXSON). (File No. C/0636/15 PPG/AXSON REVOCOAT),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