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https://www.cnmc.es/expedientes/c063815</w:t>
      </w:r>
    </w:p>
    <w:p>
      <w:r>
        <w:t>Pages translated : 1</w:t>
      </w:r>
    </w:p>
    <w:p/>
    <w:p>
      <w:r>
        <w:rPr>
          <w:b/>
        </w:rPr>
        <w:t>[Pages 1–1]</w:t>
      </w:r>
    </w:p>
    <w:p>
      <w:r>
        <w:t>RESOLUTION</w:t>
        <w:br/>
        <w:t>(File No. C/0638/15 SCHREIBER/SENOBLE IBÉRICA)</w:t>
        <w:br/>
        <w:t>COMPETITION CHAMBER</w:t>
        <w:br/>
        <w:t>President</w:t>
        <w:br/>
        <w:t>Mr. José María Marín Quemada, President</w:t>
        <w:br/>
        <w:t>Counselors</w:t>
        <w:br/>
        <w:t>Ms. María Ortiz Aguilar</w:t>
        <w:br/>
        <w:t>Mr. Benigno Valdés Díaz</w:t>
        <w:br/>
        <w:t>Ms. Idoia Zenarrutzabeitia Beldarraín</w:t>
        <w:br/>
        <w:t>Secretary</w:t>
        <w:br/>
        <w:t>Mr. Tomás Suárez-Inclán González</w:t>
        <w:br/>
        <w:t>In Madrid, on March 5, 2015</w:t>
        <w:br/>
        <w:t xml:space="preserve">Having reviewed the file processed in accordance with Law 15/2007, of July 3, on the Defense of Competition, regarding the economic concentration operation consisting of the acquisition by SCHREIBER EUROPE, S.L. (SCHREIBER) from Senoble International of 100% of the share capital of SENOBLE IBÉRICA, S.L. in Spain and its subsidiaries: (i) Senoble Central Europe, S.R.O. (Slovakia) and (ii) Senoble Ibérica S.L. (Portugal), as well as the "Zvolenski" brand in Slovakia. (File No. C/0638/15 SCHREIBER/SENOBLE IBÉRICA),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