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https://www.cnmc.es/expedientes/c063915</w:t>
      </w:r>
    </w:p>
    <w:p>
      <w:r>
        <w:t>Pages translated : 1</w:t>
      </w:r>
    </w:p>
    <w:p/>
    <w:p>
      <w:r>
        <w:rPr>
          <w:b/>
        </w:rPr>
        <w:t>[Pages 1–1]</w:t>
      </w:r>
    </w:p>
    <w:p>
      <w:r>
        <w:t>RESOLUTION</w:t>
        <w:br/>
        <w:t>(File No. C/0639/15 CELIN INVESTMENTS/GRUPO PALACIOS)</w:t>
        <w:br/>
        <w:t>COMPETITION CHAMBER</w:t>
        <w:br/>
        <w:t>President</w:t>
        <w:br/>
        <w:t>Mr. José María Marín Quemada, President</w:t>
        <w:br/>
        <w:t>Counselors</w:t>
        <w:br/>
        <w:t>Ms. María Ortiz Aguilar</w:t>
        <w:br/>
        <w:t>Mr. Benigno Valdés Díaz</w:t>
        <w:br/>
        <w:t>Ms. Idoia Zenarrutzabeitia Beldarraín</w:t>
        <w:br/>
        <w:t>Secretary</w:t>
        <w:br/>
        <w:t>Mr. Tomás Suárez-Inclán González</w:t>
        <w:br/>
        <w:t>In Madrid, on March 12, 2015</w:t>
        <w:br/>
        <w:t>Having reviewed the file processed in accordance with Law 15/2007, of July 3, on the Defense of Competition, regarding the economic concentration operation consisting of the acquisition of exclusive control of GRUPO EMPRESARIAL PALACIOS ALIMENTACIÓN, S.A. (GRUPO PALACIOS) by CELIN INVESTMENTS, S.L.U. (CELIN). (File No. C/0639/15 CELIN INVESTMENTS / GRUPO PALACIOS),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