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https://www.cnmc.es/expedientes/c064215</w:t>
      </w:r>
    </w:p>
    <w:p>
      <w:r>
        <w:t>Pages translated : 2</w:t>
      </w:r>
    </w:p>
    <w:p/>
    <w:p>
      <w:r>
        <w:rPr>
          <w:b/>
        </w:rPr>
        <w:t>[Pages 1–2]</w:t>
      </w:r>
    </w:p>
    <w:p>
      <w:r>
        <w:t>RESOLUTION</w:t>
        <w:br/>
        <w:t>(File C/0642/15 MASMOVIL IBERCOM / NEO</w:t>
        <w:br/>
        <w:t>COMPETITION CHAMBER</w:t>
        <w:br/>
        <w:t>President</w:t>
        <w:br/>
        <w:t>Mr. José María Marín Quemada</w:t>
        <w:br/>
        <w:t>Counselors</w:t>
        <w:br/>
        <w:t>Ms. María Ortiz Aguilar</w:t>
        <w:br/>
        <w:t>Mr. Fernando Torremocha y García-Sáenz</w:t>
        <w:br/>
        <w:t>Mr. Benigno Valdés Díaz</w:t>
        <w:br/>
        <w:t>Ms. Idoia Zenarrutzabeitia Beldarraín</w:t>
        <w:br/>
        <w:t>Secretary</w:t>
        <w:br/>
        <w:t>Mr. Tomás Suárez-Inclán González</w:t>
        <w:br/>
        <w:t>In Madrid, on April 16, 2015</w:t>
        <w:br/>
        <w:t>Having reviewed the file processed in accordance with Law 15/2007, of July 3, on the Defense of Competition, concerning the economic concentration operation consisting of the acquisition by MÁSMÓVIL IBERCOM, S.A. (MASMOVIL IBERCOM) of exclusive control over NEO OPERADOR DE TELECOMUNICACIONES, S.L.U. (NEO). (File C/0642/15 MASMOVIL IBERCOM / NEO), and in agreement with the report and proposal submitted by the Competition Directorate, the Competition Chamber of the National Commission on Markets and Competition has resolved, in application of Article 57.2.a) of the aforementioned Law, to authorize the said concentration operation. However, taking into account the Communication from the European Commission regarding restrictions directly linked to the execution of a concentration and necessary for that purpose (2005/C 56/03) and the practice of national competition authorities, the exclusive supply agreement for access to the 4G-LTE network of NEUTRA that exceeds five years shall be excluded from the authorization, as it is considered non-accessory to the notified concentration operation, and consequently, it will be subject to the regulations on agreements between companies. All of this in accordance with what is stated in paragraph (17) of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