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https://www.cnmc.es/expedientes/c064315</w:t>
      </w:r>
    </w:p>
    <w:p>
      <w:r>
        <w:t>Pages translated : 2</w:t>
      </w:r>
    </w:p>
    <w:p/>
    <w:p>
      <w:r>
        <w:rPr>
          <w:b/>
        </w:rPr>
        <w:t>[Pages 1–2]</w:t>
      </w:r>
    </w:p>
    <w:p>
      <w:r>
        <w:t>RESOLUTION</w:t>
        <w:br/>
        <w:t>(File C/0643/15 TAMINCO/CEPSA QUIMICA-ASSETS)</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June 25, 2015</w:t>
        <w:br/>
        <w:t>Having reviewed the file processed in accordance with Law 15/2007, of July 3, on the Defense of Competition, regarding the economic concentration operation consisting of the acquisition by EASTMAN CHEMICAL CORPORATION (hereinafter, EASTMAN), through its subsidiary TAMINCO BVBA (hereinafter, TAMINCO), of the methylamines and methylamine derivatives business in Spain from CEPSA QUÍMICA (hereinafter, the ACQUIRED BUSINESS). (File C/0643/15 TAMINCO/CEPSA QUIMICA-ASSETS), and being in agreement with the report and proposal submitted by the Directorate of Competition, the Competition Chamber of the National Commission of Markets and Competition has resolved, in application of Article 57.2.b) of the aforementioned Law, to authorize the said concentration operation subject to the fulfillment of the commitments presented by TAMINCO BVBA on May 27, 2015. However, taking into account the Communication from the European Commission regarding restrictions directly linked to the execution of a concentration and necessary for that purpose (2005/C 56/03) and the practice of national competition authorities, it is proposed that the exclusivity clause included in the maquila contract be excluded from the authorization to the extent that such restriction is not considered ancillary to the concentration operation, thus leaving said restriction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