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https://www.cnmc.es/expedientes/c064415</w:t>
      </w:r>
    </w:p>
    <w:p>
      <w:r>
        <w:t>Pages translated : 2</w:t>
      </w:r>
    </w:p>
    <w:p/>
    <w:p>
      <w:r>
        <w:rPr>
          <w:b/>
        </w:rPr>
        <w:t>[Pages 1–2]</w:t>
      </w:r>
    </w:p>
    <w:p>
      <w:r>
        <w:t>RESOLUTION</w:t>
        <w:br/>
        <w:t>(File No. C-0644/15 SAPA/SIGMA-TAU Companies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April 23, 2015</w:t>
        <w:br/>
        <w:t>Having reviewed the file processed in accordance with Law 15/2007, of July 3, on the Defense of Competition, regarding the economic concentration operation consisting of the acquisition by MARINO GOLINELLI &amp; C.S.A.P.A. (SAPA) of exclusive control of the "traditional" pharmaceutical products business for common diseases of the SIGMA-TAU Group. (File No. C-0644/15 SAPA/SIGMA-TAU Companies), and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the following must remain outside the authorization concerning the non-compete clause: (1) the restriction imposed on the buyer, (2) regarding the restriction for the seller, (a) the restriction on the activities of the acquiring Group AW and (b) as far as it exceeds 3 years for the transferred activities. All of this must remain subject to the regulations on agreements between companies, insofar as such restrictions are not considered ancillary to the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