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https://www.cnmc.es/expedientes/c064515</w:t>
      </w:r>
    </w:p>
    <w:p>
      <w:r>
        <w:t>Pages translated : 2</w:t>
      </w:r>
    </w:p>
    <w:p/>
    <w:p>
      <w:r>
        <w:rPr>
          <w:b/>
        </w:rPr>
        <w:t>[Pages 1–2]</w:t>
      </w:r>
    </w:p>
    <w:p>
      <w:r>
        <w:t>RESOLUTION</w:t>
        <w:br/>
        <w:t>(File C-0645/15 CAREFUSION/ARX)</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April 29, 2015</w:t>
        <w:br/>
        <w:t>Having reviewed the file processed in accordance with Law 15/2007, of July 3, on the Defense of Competition, regarding the economic concentration operation consisting of the acquisition by Dutch American Manufacturers (DAM), belonging to the CAREFUSION Group, of the entire share capital of (i) ARX Sprl; (ii) ARX SA; (iii) ARX Automatización de Farmacias, S.L.U., (iv) ARX SAS; (v) ARX Limited, (vi) ARX Automating Pharmacies Ltd., and (vii) ARX Norge AS (ARX) (File C-0645/15 CAREFUSION/ARX), and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However, taking into account the legislation and national and community precedents, as well as the Commission's Communication on restrictions directly linked to the execution of a concentration and necessary for that purpose (2005/C 56/03), any limitation for the seller to acquire shares for exclusively financial investment purposes that do not confer management functions or substantial influence in a competing company shall be excluded from the authorization of the operation, regarding the non-competition agreement. All of this in accordance with what is stated in paragraph (15) of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