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https://www.cnmc.es/expedientes/c064615</w:t>
      </w:r>
    </w:p>
    <w:p>
      <w:r>
        <w:t>Pages translated : 1</w:t>
      </w:r>
    </w:p>
    <w:p/>
    <w:p>
      <w:r>
        <w:rPr>
          <w:b/>
        </w:rPr>
        <w:t>[Pages 1–1]</w:t>
      </w:r>
    </w:p>
    <w:p>
      <w:r>
        <w:t>RESOLUTION</w:t>
        <w:br/>
        <w:t>(File No. C-0646/15 CUNEXT/ECN)</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April 29, 2015</w:t>
        <w:br/>
        <w:t>Having reviewed the file processed in accordance with Law 15/2007, of July 3, on the Defense of Competition, regarding the economic concentration operation consisting of the acquisition by CUNEXT COPPER INDUSTRIES, S.L. (CUNEXT) of 100% of the share capital of ECN CABLE GROUP, S.L. (ECN), currently owned by Grupo General Cable Sistemas, S.L.U. (File No. C-0646/15 CUNEXT/ECN),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