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https://www.cnmc.es/expedientes/c064715</w:t>
      </w:r>
    </w:p>
    <w:p>
      <w:r>
        <w:t>Pages translated : 1</w:t>
      </w:r>
    </w:p>
    <w:p/>
    <w:p>
      <w:r>
        <w:rPr>
          <w:b/>
        </w:rPr>
        <w:t>[Pages 1–1]</w:t>
      </w:r>
    </w:p>
    <w:p>
      <w:r>
        <w:t>RESOLUTION</w:t>
        <w:br/>
        <w:t>(File No. C/0647/15 SEGURCAIXA ADESLAS/ SOCIEDAD DE PROFESIONALES/ IGUALATORIO DE ASTURIAS)</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May 28, 2015</w:t>
        <w:br/>
        <w:t>Having reviewed the file processed in accordance with Law 15/2007, of July 3, on the Defense of Competition, concerning the economic concentration operation consisting of the joint control acquisition of IGUALATORIO MÉDICO QUIRÚRGICO DE ESPECIALIDADES DE ASTURIAS, S.A. DE SEGUROS (“IGUALATORIO DE ASTURIAS”) by SEGURCAIXA ADESLAS, S.A. DE SEGUROS Y REASEGUROS (“SEGURCAIXA ADESLAS”) and SOCIEDAD DE PROFESIONALES MÉDICOS DEL IGUALATORIO MÉDICO QUIRÚRGICO DE ASTURIAS, S.L. (“SOCIEDAD DE PROFESIONALES”), (File No. C/0647/15 SEGURCAIXA ADESLAS/ SOCIEDAD DE PROFESIONALES/ IGUALATORIO DE ASTURIAS), and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