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https://www.cnmc.es/expedientes/c064815</w:t>
      </w:r>
    </w:p>
    <w:p>
      <w:r>
        <w:t>Pages translated : 2</w:t>
      </w:r>
    </w:p>
    <w:p/>
    <w:p>
      <w:r>
        <w:rPr>
          <w:b/>
        </w:rPr>
        <w:t>[Pages 1–2]</w:t>
      </w:r>
    </w:p>
    <w:p>
      <w:r>
        <w:t>RESOLUTION</w:t>
        <w:br/>
        <w:t>(File No. C/0648/15 GODÓ / MEDIASET / EDICA)</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May 14, 2015</w:t>
        <w:br/>
        <w:t>Having reviewed the file processed in accordance with Law 15/2007, of July 3, on the Defense of Competition, concerning the economic concentration operation consisting of the acquisition by Mediaset España Comunicación, S.A. (MEDIASET) of 40% of the shares of Emissions Digitals de Catalunya, S.L.U. (EDICA), of which Grupo Godó de Comunicación, S.A. (GODÓ) is currently the sole owner, through the ownership of 100% of the shares of Catalunya Comunicació, S.L.U (CATALUNYA COMUNICACIÓ, holder of 100% of the shares of EDICA), in order for both parties to jointly control EDICA, (File No. C/0648/15 GODÓ / MEDIASET / EDICA),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