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https://www.cnmc.es/expedientes/c064915</w:t>
      </w:r>
    </w:p>
    <w:p>
      <w:r>
        <w:t>Pages translated : 1</w:t>
      </w:r>
    </w:p>
    <w:p/>
    <w:p>
      <w:r>
        <w:rPr>
          <w:b/>
        </w:rPr>
        <w:t>[Pages 1–1]</w:t>
      </w:r>
    </w:p>
    <w:p>
      <w:r>
        <w:t>RESOLUTION</w:t>
        <w:br/>
        <w:t>(File No. C-0649/15 CARDINAL/CORDIS)</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May 7, 2015</w:t>
        <w:br/>
        <w:t>Having reviewed the file processed in accordance with Law 15/2007, of July 3, on the Defense of Competition, concerning the economic concentration operation consisting of the acquisition by CARDINAL HEALTH INC. (CARDINAL) of 100% of the shares of CORDIS CORPORATION (CORDIS) and its subsidiary Flexible Stenting Solutions, Inc. (FSS) as well as the assets of the CORDIS business segment of JOHNSON &amp; JOHNSON (J&amp;J) (File No. C-0649/15 CARDINAL/CORDIS), and being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