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https://www.cnmc.es/expedientes/c065115</w:t>
      </w:r>
    </w:p>
    <w:p>
      <w:r>
        <w:t>Pages translated : 1</w:t>
      </w:r>
    </w:p>
    <w:p/>
    <w:p>
      <w:r>
        <w:rPr>
          <w:b/>
        </w:rPr>
        <w:t>[Pages 1–1]</w:t>
      </w:r>
    </w:p>
    <w:p>
      <w:r>
        <w:t>RESOLUTION</w:t>
        <w:br/>
        <w:t>(File No. C-0651/15 GNF/NGS)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June 25, 2015</w:t>
        <w:br/>
        <w:t>Having reviewed the file processed in accordance with Law 15/2007, of July 3, on the Defense of Competition, regarding the economic concentration operation consisting of the acquisition by Gas Natural Fenosa SDG, S.A. (GNF) of exclusive control over certain assets owned by Nueva Generadora del Sur, S.A. (NGS), (File No. C-0651/15 GNF/NGS),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