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https://www.cnmc.es/expedientes/c065315</w:t>
      </w:r>
    </w:p>
    <w:p>
      <w:r>
        <w:t>Pages translated : 2</w:t>
      </w:r>
    </w:p>
    <w:p/>
    <w:p>
      <w:r>
        <w:rPr>
          <w:b/>
        </w:rPr>
        <w:t>[Pages 1–2]</w:t>
      </w:r>
    </w:p>
    <w:p>
      <w:r>
        <w:t>RESOLUTION</w:t>
        <w:br/>
        <w:t>(File No. C-0653/15 BOSTON/AMSH Companies)</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June 11, 2015</w:t>
      </w:r>
    </w:p>
    <w:p>
      <w:r>
        <w:t>Having reviewed the file processed in accordance with Law 15/2007, of July 3, on the Defense of Competition, concerning the economic concentration operation consisting of the acquisition by BOSTON SCIENTIFIC CORPORATION (BOSTON) of exclusive control over the male health and prostate health business of AMERICAN MEDICAL SYSTEMS HOLDINGS, INC. (AMSH). (File No. C-0653/15 BOSTON/AMSH Companies),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 However, taking into account the legislation and national and community precedents, as well as the Commission's Communication on restrictions directly linked to the execution of a concentration and necessary for that purpose (2005/C 56/03), the following shall be excluded from the authorization of the operation: (i) regarding the indefinite term of the confidentiality clause both of Section 5.03 of the Sale and Purchase Agreement and of the Auxiliary Agreements, anything exceeding 3 years from the date of closing of the operation, (ii) in relation to the non-compete agreement, as it pertains to the acquisition of shares for exclusively financial investment purposes that do not confer directly or indirectly management functions or substantial influence over the competing company.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