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https://www.cnmc.es/expedientes/c065415</w:t>
      </w:r>
    </w:p>
    <w:p>
      <w:r>
        <w:t>Pages translated : 2</w:t>
      </w:r>
    </w:p>
    <w:p/>
    <w:p>
      <w:r>
        <w:rPr>
          <w:b/>
        </w:rPr>
        <w:t>[Pages 1–2]</w:t>
      </w:r>
    </w:p>
    <w:p>
      <w:r>
        <w:t>RESOLUTION</w:t>
        <w:br/>
        <w:t>(File No. C-0654/15 ONTARIO/ONEX/NORTH AMERICAN TILLAGE)</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May 14, 2015</w:t>
        <w:br/>
        <w:t>Having reviewed the file processed in accordance with Law 15/2007, of July 3, on the Defense of Competition, regarding the economic concentration operation consisting of the acquisition of joint control of NORTH AMERICAN TILLAGE TOOLS COMPANY (NATT) by the companies 2304616 ONTARIO INC. (230 ONTARIO) and ONEX CORPORATION (ONEX), (File No. C-0654/15 ONTARIO/ONEX/NORTH AMERICAN TILLAGE), and in agreement with the report and proposal submitted by the Directorate of Competition, the Competition Chamber of the National Commission on Markets and Competition has resolved, pursuant to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it is proposed that the following be excluded from the authorization concerning the confidentiality clauses and non-competition agreement of the ONCAP Agreement: (a) the indefinite term of the confidentiality clause, (b) the period of 2 years after 230 ONTARIO and ONCAP III cease to be parent companies of the joint venture, (c) the non-competition agreement related to investments by the parties in competing companies that do not involve a controlling interest, even if the aforementioned 2% is exceeded, and (d) the restriction regarding NATT's suppliers.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