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https://www.cnmc.es/expedientes/c065515</w:t>
      </w:r>
    </w:p>
    <w:p>
      <w:r>
        <w:t>Pages translated : 1</w:t>
      </w:r>
    </w:p>
    <w:p/>
    <w:p>
      <w:r>
        <w:rPr>
          <w:b/>
        </w:rPr>
        <w:t>[Pages 1–1]</w:t>
      </w:r>
    </w:p>
    <w:p>
      <w:r>
        <w:t>RESOLUTION</w:t>
        <w:br/>
        <w:t>(File C/0655/15 IDC SALUD/PREMAP)</w:t>
        <w:br/>
        <w:t>COMPETITION CHAMBER</w:t>
        <w:br/>
        <w:t>President</w:t>
        <w:br/>
        <w:t>Mr. José María Marín Quemada</w:t>
        <w:br/>
        <w:t>Counselors</w:t>
        <w:br/>
        <w:t>Ms. María Ortiz Aguilar</w:t>
        <w:br/>
        <w:t>Mr. Benigno Valdés Díaz</w:t>
        <w:br/>
        <w:t>Ms. Idoia Zenarrutzabeitia Beldarraín</w:t>
        <w:br/>
        <w:t>Secretary</w:t>
        <w:br/>
        <w:t>Mr. Tomás Suárez-Inclán González</w:t>
        <w:br/>
        <w:t>In Madrid, on June 11, 2015</w:t>
        <w:br/>
        <w:t>Having reviewed the file processed in accordance with Law 15/2007, of July 3, on the Defense of Competition, concerning the economic concentration operation consisting of the exclusive control acquisition of PREMAP SEGURIDAD Y SALUD, S.L.U. (“PREMAP”) by IDC SALUD, S.L (File C/0655/15 IDC SALUD/PREMAP), and in agreement with the report and proposal submitted by the Competition Directorate, the Competition Chamber of the Council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