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https://www.cnmc.es/expedientes/c065615</w:t>
      </w:r>
    </w:p>
    <w:p>
      <w:r>
        <w:t>Pages translated : 1</w:t>
      </w:r>
    </w:p>
    <w:p/>
    <w:p>
      <w:r>
        <w:rPr>
          <w:b/>
        </w:rPr>
        <w:t>[Pages 1–1]</w:t>
      </w:r>
    </w:p>
    <w:p>
      <w:r>
        <w:t>RESOLUTION</w:t>
        <w:br/>
        <w:t>(File No. C/0656/15 AMC/ATLANTIS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9, 2015</w:t>
        <w:br/>
        <w:t>Having reviewed the file processed in accordance with Law 15/2007, of July 3, on the Defense of Competition, concerning the acquisition of exclusive control of Atlantis Compañía de Seguros y Reaseguros S.A. (ATLANTIS SEGUROS) and Atlantis Vida Compañía de Seguros y Reaseguros S.A. (ATLANTIS VIDA) by Agrupació AMCI d’Assegurances i Reassegurances S.A. (AMCI) (File No. C/0656/15, AMCI/ATLANTIS),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