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https://www.cnmc.es/expedientes/c065715</w:t>
      </w:r>
    </w:p>
    <w:p>
      <w:r>
        <w:t>Pages translated : 1</w:t>
      </w:r>
    </w:p>
    <w:p/>
    <w:p>
      <w:r>
        <w:rPr>
          <w:b/>
        </w:rPr>
        <w:t>[Pages 1–1]</w:t>
      </w:r>
    </w:p>
    <w:p>
      <w:r>
        <w:t>RESOLUTION</w:t>
        <w:br/>
        <w:t>(File No. C/0657/15 LFPI/MONTEFIORE/GRUPO INTERFLORA)</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June 11, 2015</w:t>
      </w:r>
    </w:p>
    <w:p>
      <w:r>
        <w:t>Having reviewed the file processed in accordance with Law 15/2007, of July 3, on the Defense of Competition, regarding the economic concentration operation consisting of the acquisition by La Financière Patrimoniale d’Investissement, SAS (LFPI) and Montefiore Investment, SAS (MONTEFIORE) of joint control over FLOWERNET, SAS and its subsidiaries (GRUPO INTERFLORA) through a vehicle company called MyFlower, SAS (MYFLOWER), in turn controlled by LFPI and MONTEFIORE. The subsidiary of FLOWERNET in Spain is FLEUROP INTERFLORA ESPAÑA, S.A. (INTERFLORA ESPAÑA) (File No. C/0657/15 LFPI/MONTEFIORE/GRUPO INTERFLORA),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