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https://www.cnmc.es/expedientes/c065815</w:t>
      </w:r>
    </w:p>
    <w:p>
      <w:r>
        <w:t>Pages translated : 1</w:t>
      </w:r>
    </w:p>
    <w:p/>
    <w:p>
      <w:r>
        <w:rPr>
          <w:b/>
        </w:rPr>
        <w:t>[Pages 1–1]</w:t>
      </w:r>
    </w:p>
    <w:p>
      <w:r>
        <w:t>RESOLUTION</w:t>
        <w:br/>
        <w:t>(File C-0658/15 GAS NATURAL/GAS DIRECTO)</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June 25, 2015</w:t>
        <w:br/>
        <w:t>Having reviewed the file processed in accordance with Law 15/2007, of July 3, on the Defense of Competition, concerning the economic concentration operation consisting of the acquisition by GAS NATURAL SDG, S.A. (GNF), through its subsidiary Holding Negocios Regulados Gas Natural S.A, of exclusive control over GAS DIRECTO, S.A. (GAS DIRECTO), over which it currently exercises joint control (File C/0658/15 GAS NATURAL / GAS DIRECTO),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