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https://www.cnmc.es/expedientes/c065915</w:t>
      </w:r>
    </w:p>
    <w:p>
      <w:r>
        <w:t>Pages translated : 1</w:t>
      </w:r>
    </w:p>
    <w:p/>
    <w:p>
      <w:r>
        <w:rPr>
          <w:b/>
        </w:rPr>
        <w:t>[Pages 1–1]</w:t>
      </w:r>
    </w:p>
    <w:p>
      <w:r>
        <w:t>RESOLUTION</w:t>
        <w:br/>
        <w:t>(File No. C/0659/15, BBVA/CX SEGUROS GENERALES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9, 2015</w:t>
        <w:br/>
        <w:t>Having reviewed the file processed in accordance with Law 15/2007, of July 3, on the Defense of Competition, concerning the acquisition of exclusive control of CatalunyaCaixa Vida S.A. d’Assegurances i Reassegurances (CX VIDA) and Catalunya Caixa Assegurances Generals S.A. d’Assegurances i Reassegurances (CX SEGUROS GENERALES) by Banco Bilbao Vizcaya Argentaria S.A. (BBVA), through Catalunya Banc S.A. (CX) (File No. C/0659/15 BBVA/CX VIDA/CX SEGUROS GENERALES),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