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https://www.cnmc.es/expedientes/c066015</w:t>
      </w:r>
    </w:p>
    <w:p>
      <w:r>
        <w:t>Pages translated : 1</w:t>
      </w:r>
    </w:p>
    <w:p/>
    <w:p>
      <w:r>
        <w:rPr>
          <w:b/>
        </w:rPr>
        <w:t>[Pages 1–1]</w:t>
      </w:r>
    </w:p>
    <w:p>
      <w:r>
        <w:t>RESOLUTION</w:t>
        <w:br/>
        <w:t>(File C/0660/15 TENEDORA DE CINES/YELMO)</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May 11, 2015</w:t>
        <w:br/>
        <w:t>Having reviewed the file processed in accordance with Law 15/2007, of July 3, on the Defense of Competition, concerning the economic concentration operation consisting of the acquisition by TENEDORA DE CINES S.A. (TENEDORA DE CINES) of the exclusive control of Yelmo Cines, S.L.U. (YELMO), through the purchase of 100% of its shares. (File C/0660/15 TENEDORA DE CINES/YELMO),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Communication from the European Commission regarding restrictions directly linked to the execution of a concentration and necessary for that purpose (2005/C 56/03) and the practice of national competition authorities, it is proposed that the non-compete and non-solicitation agreements contained in the purchase contract that exceed two years be excluded from the authorization.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