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https://www.cnmc.es/expedientes/c066115</w:t>
      </w:r>
    </w:p>
    <w:p>
      <w:r>
        <w:t>Pages translated : 1</w:t>
      </w:r>
    </w:p>
    <w:p/>
    <w:p>
      <w:r>
        <w:rPr>
          <w:b/>
        </w:rPr>
        <w:t>[Pages 1–1]</w:t>
      </w:r>
    </w:p>
    <w:p>
      <w:r>
        <w:t>RESOLUTION</w:t>
        <w:br/>
        <w:t>(File C/0661/15, TOI TOI/POLY-KLYN)</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July 16, 2015</w:t>
        <w:br/>
        <w:t>Having reviewed the file processed in accordance with Law 15/2007, of July 3, on the Defense of Competition, concerning the acquisition by TOI TOI SANITARIOS MOVILES S.A (TOI TOI) of the productive unit of POLY-KLYN S.L (POLY-KLYN) through the purchase of certain assets and the assumption of certain liabilities of said company. (File C/0661/15, TOI TOI/POLY-KLYN), and in agreement with the report and proposal submitted by the Competition Directorate, the Competition Chamber of the National Commission on Markets and Competition has resolved, in application of Article 57.2.a) of the aforementioned Law, to file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