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https://www.cnmc.es/expedientes/c066215</w:t>
      </w:r>
    </w:p>
    <w:p>
      <w:r>
        <w:t>Pages translated : 2</w:t>
      </w:r>
    </w:p>
    <w:p/>
    <w:p>
      <w:r>
        <w:rPr>
          <w:b/>
        </w:rPr>
        <w:t>[Pages 1–2]</w:t>
      </w:r>
    </w:p>
    <w:p>
      <w:r>
        <w:t>RESOLUTION</w:t>
        <w:br/>
        <w:t>(File C/0662/15 HISCAN/RIBEREBRO)</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June 25, 2015</w:t>
        <w:br/>
        <w:t>Having reviewed the file processed in accordance with Law 15/2007, of July 3, on the Defense of Competition, regarding the economic concentration operation consisting of the acquisition of exclusive control of Grupo Riberebro Integral S.L. (RIBEREBRO) by Hiscan Patrimonio, S.A.U. (HISCAN), through a General Shareholders Agreement on May 29, 2015, by virtue of which HISCAN will increase its shareholding in the capital stock of RIBEREBRO from 19.90% to 60% (File C/0662/15 HISCAN/RIBEREBRO),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it is proposed that the following be excluded from the authorization concerning the non-competition agreement: (i) the non-competition agreement related to investments in competing companies that do not involve management functions or substantial influence and (ii) the restriction related to RIBEREBRO's suppliers.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