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https://www.cnmc.es/expedientes/c066315</w:t>
      </w:r>
    </w:p>
    <w:p>
      <w:r>
        <w:t>Pages translated : 1</w:t>
      </w:r>
    </w:p>
    <w:p/>
    <w:p>
      <w:r>
        <w:rPr>
          <w:b/>
        </w:rPr>
        <w:t>[Pages 1–1]</w:t>
      </w:r>
    </w:p>
    <w:p>
      <w:r>
        <w:t>RESOLUTION</w:t>
        <w:br/>
        <w:t>(File C/0663/15, RIBERA SALUD/UTE ALZIRA)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9, 2015</w:t>
        <w:br/>
        <w:t>Having reviewed the file processed in accordance with Law 15/2007, of July 3, on the Defense of Competition, concerning the acquisition of 51% of the capital of RIBERA SALUD II TEMPORARY BUSINESS UNION (UTE ALZIRA) currently held by SEGURCAIXA ADESLAS S.A. DE SEGUROS Y REASEGUROS (ADESLAS), by RIBERA SALUD S.A. (RIBERA SALUD). After the execution of the concentration operation, RIBERA SALUD's share in UTE ALZIRA will increase from 45% to 96%, (File C/0663/15, RIBERA SALUD/UTE ALZIRA),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