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https://www.cnmc.es/expedientes/c066415</w:t>
      </w:r>
    </w:p>
    <w:p>
      <w:r>
        <w:t>Pages translated : 2</w:t>
      </w:r>
    </w:p>
    <w:p/>
    <w:p>
      <w:r>
        <w:rPr>
          <w:b/>
        </w:rPr>
        <w:t>[Pages 1–2]</w:t>
      </w:r>
    </w:p>
    <w:p>
      <w:r>
        <w:t xml:space="preserve">RESOLUTION  </w:t>
        <w:br/>
        <w:t xml:space="preserve">(File C/0664/15 ESPIGA/UBIS)  </w:t>
        <w:br/>
        <w:t xml:space="preserve">COMPETITION CHAMBER  </w:t>
        <w:br/>
        <w:t xml:space="preserve">President  </w:t>
        <w:br/>
        <w:t xml:space="preserve">Mr. José María Marín Quemada  </w:t>
        <w:br/>
        <w:t xml:space="preserve">Counselors  </w:t>
        <w:br/>
        <w:t xml:space="preserve">Ms. María Ortiz Aguilar  </w:t>
        <w:br/>
        <w:t xml:space="preserve">Mr. Fernando Torremocha y García-Sáenz  </w:t>
        <w:br/>
        <w:t xml:space="preserve">Mr. Benigno Valdés Díaz  </w:t>
        <w:br/>
        <w:t xml:space="preserve">Ms. Idoia Zenarrutzabeitia Beldarraín  </w:t>
        <w:br/>
        <w:t xml:space="preserve">Secretary  </w:t>
        <w:br/>
        <w:t xml:space="preserve">Mr. Tomás Suárez-Inclán González  </w:t>
        <w:br/>
        <w:t xml:space="preserve">In Barcelona, on July 2, 2015  </w:t>
        <w:br/>
        <w:t>Having reviewed the file processed in accordance with Law 15/2007, of July 3, on the Defense of Competition, regarding the economic concentration operation consisting of the acquisition by the venture capital fund Espiga Equity Fund, F.C.R. (EEF), managed by Espiga Equity Partners, S.G.E.I.C., S.A. (EEP), of 35% of the share capital of Cintas Adhesivas Ubis, S.A. (UBIS), as well as certain veto rights that grant EEP control over UBIS (File C/0664/15 ESPIGA/UBIS), and being in agreement with the report and proposal submitted by the Directorate of Competition, the Competition Chamber of the National Commission of Markets and Competition has resolved, in application of Article 57.2.a) of the aforementioned Law, to authorize the said concentration operation.</w:t>
      </w:r>
    </w:p>
    <w:p>
      <w: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