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https://www.cnmc.es/expedientes/c066515</w:t>
      </w:r>
    </w:p>
    <w:p>
      <w:r>
        <w:t>Pages translated : 2</w:t>
      </w:r>
    </w:p>
    <w:p/>
    <w:p>
      <w:r>
        <w:rPr>
          <w:b/>
        </w:rPr>
        <w:t>[Pages 1–2]</w:t>
      </w:r>
    </w:p>
    <w:p>
      <w:r>
        <w:t>RESOLUTION</w:t>
        <w:br/>
        <w:t>(File C/0665/15, NAZCA/EXECUTIVE AIRLINES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9, 2015</w:t>
        <w:br/>
        <w:t>Having reviewed the file processed in accordance with Law 15/2007, of July 3, on the Defense of Competition, consisting of the acquisition of exclusive control of EXECUTIVE AIRLINES S.L.U. by FONDO NAZCA III F.C.R. DE REGIMEN SIMPLIFICADO. (File C/0665/15, NAZCA/EXECUTIVE AIRLINES),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However, regarding the commercial agreements included in clause 2.7 subsections (i) (ii) and (iii) of the framework agreement signed between the parties, it is considered that they are not necessary for the execution of the notified operation, and therefore cannot be considered an ancillary restriction to it. All of this in accordance with what is stated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