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https://www.cnmc.es/expedientes/c066715</w:t>
      </w:r>
    </w:p>
    <w:p>
      <w:r>
        <w:t>Pages translated : 1</w:t>
      </w:r>
    </w:p>
    <w:p/>
    <w:p>
      <w:r>
        <w:rPr>
          <w:b/>
        </w:rPr>
        <w:t>[Pages 1–1]</w:t>
      </w:r>
    </w:p>
    <w:p>
      <w:r>
        <w:t>RESOLUTION</w:t>
        <w:br/>
        <w:t>(FILE C-0667/15 BOLTON/GARAVILLA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30, 2015</w:t>
        <w:br/>
        <w:t>Having reviewed the file processed in accordance with Law 15/2007, of July 3, on the Defense of Competition, concerning the acquisition of exclusive control of GRUPO CONSERVAS GARAVILLA, S.L. (GCG), by BOLTON GROUP, S.R.L. (BOLTON) through the acquisition of its entire share capital. (File C-0667/15 BOLTON/GARAVILLA),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