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https://www.cnmc.es/expedientes/c066815</w:t>
      </w:r>
    </w:p>
    <w:p>
      <w:r>
        <w:t>Pages translated : 2</w:t>
      </w:r>
    </w:p>
    <w:p/>
    <w:p>
      <w:r>
        <w:rPr>
          <w:b/>
        </w:rPr>
        <w:t>[Pages 1–2]</w:t>
      </w:r>
    </w:p>
    <w:p>
      <w:r>
        <w:t>RESOLUTION</w:t>
        <w:br/>
        <w:t>(File No. C/0668/15 SPRING 2012/MEDIAVIDEO/MARCH 2012/IMAGINA)</w:t>
        <w:br/>
        <w:t>COMPETITION CHAMBER</w:t>
        <w:br/>
        <w:t>President</w:t>
        <w:br/>
        <w:t>Mr. José María Marín Quemada</w:t>
        <w:br/>
        <w:t>Counselors</w:t>
        <w:br/>
        <w:t>Ms. María Ortiz Aguilar</w:t>
        <w:br/>
        <w:t>Mr. Benigno Valdés Díaz</w:t>
        <w:br/>
        <w:t>Ms. Idoia Zenarrutzabeitia Beldarraín</w:t>
        <w:br/>
        <w:t>Secretary</w:t>
        <w:br/>
        <w:t>Mr. Tomás Suárez-Inclán González</w:t>
        <w:br/>
        <w:t>In Madrid, on July 23, 2015</w:t>
        <w:br/>
        <w:t>Having reviewed the file processed in accordance with Law 15/2007, of July 3, on the Defense of Competition, concerning the acquisition by SPRING 2012 INVESTMENTS, B.V. (SPRING 2012), MEDIAVIDEO B.V. (MEDIAVIDEO), and MARCH 2012 INVESTMENTS B.V. (MARCH 2012) of joint control of IMAGINA MEDIA AUDIOVISUAL S.L. (IMAGINA), notification which led to file C/0668/15 SPRING 2012/MEDIAVIDEO/MARCH 2012/IMAGINA (File No. C/0668/15 SPRING 2012/MEDIAVIDEO/MARCH 2012/IMAGINA),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 However, taking into account the Communication from the European Commission regarding restrictions directly linked to the execution of a concentration and necessary for that purpose (2005/C 56/03) and the practice of national competition authorities, only the non-competition and non-solicitation clauses imposed on the selling partners of GLOBOMEDIA in the purchase option contract dated March 18, 2015, should be understood as ancillary to the concentration, and therefore are considered ancillary restrictions insofar as they aim to protect the full value of the IMAGINA group, as long as they do not exceed a period of 2 years, nor the geographical areas in which IMAGINA carries out its activity. All of this in accordance with what is indicated in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