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https://www.cnmc.es/expedientes/c067015</w:t>
      </w:r>
    </w:p>
    <w:p>
      <w:r>
        <w:t>Pages translated : 2</w:t>
      </w:r>
    </w:p>
    <w:p/>
    <w:p>
      <w:r>
        <w:rPr>
          <w:b/>
        </w:rPr>
        <w:t>[Pages 1–2]</w:t>
      </w:r>
    </w:p>
    <w:p>
      <w:r>
        <w:t>RESOLUTION</w:t>
        <w:br/>
        <w:t>(File C/0670/15, HERALDO/20 MINUTOS)</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July 16, 2015</w:t>
        <w:br/>
        <w:t>Having reviewed the file processed in accordance with Law 15/2007, of July 3, on the Defense of Competition, concerning the acquisition of the business of Grupo 20 Minutos S.L (20 MINUTOS) by Sociedad Aragonesa Comercializadora de Medios S.L., 100% owned by Prensa Heraldo de Aragón S.L., which in turn is 100% owned by Heraldo de Aragón S.A. (HERALDO), the parent company of Grupo Heraldo (File C/0670/15, HERALDO/20 MINUTOS), and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 However, the non-competition agreement signed between the parties, insofar as it exceeds two years, is not considered necessary to enable the concentration operation and should not be understood as authorized by it, being, where applicable, subject to the regulations applicable to agreements between companies. All of this in accordance with what is stated in the aforementioned report proposal.</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