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https://www.cnmc.es/expedientes/c067115</w:t>
      </w:r>
    </w:p>
    <w:p>
      <w:r>
        <w:t>Pages translated : 1</w:t>
      </w:r>
    </w:p>
    <w:p/>
    <w:p>
      <w:r>
        <w:rPr>
          <w:b/>
        </w:rPr>
        <w:t>[Pages 1–1]</w:t>
      </w:r>
    </w:p>
    <w:p>
      <w:r>
        <w:t>RESOLUTION</w:t>
        <w:br/>
        <w:t>C/0671/15 PORTOBELLO</w:t>
        <w:br/>
        <w:t>COMPETITION CHAMBER</w:t>
        <w:br/>
        <w:t>President</w:t>
        <w:br/>
        <w:t>Mr. José María Marín Quemada</w:t>
        <w:br/>
        <w:t>Counselors</w:t>
        <w:br/>
        <w:t>Ms. María Ortiz Aguilar</w:t>
        <w:br/>
        <w:t>Mr. Benigno Valdés Díaz</w:t>
        <w:br/>
        <w:t>Ms. Idoia Zenarrutzabeitia Beldarraín</w:t>
        <w:br/>
        <w:t>Secretary</w:t>
        <w:br/>
        <w:t>Mr. Tomás Suárez-Inclán González</w:t>
        <w:br/>
        <w:t>In Madrid, on July 23, 2015</w:t>
        <w:br/>
        <w:t xml:space="preserve">Having reviewed the file processed in accordance with Law 15/2007, of July 3, on the Defense of Competition, concerning the acquisition of exclusive control by PORTOBELLO SECONDARY FUND I, F.C.R., hereinafter PORTOBELLO, over STOCK UNO GRUPO DE SERVICIOS, S.L., GRUPO MEDITERRÁNEA DE CATERING, S.L., HIGHESTIME XXI, S.L., and FESTA MODA, S.L., and joint control over LAGUMAR SEAS, S.L., the latter together with an individual shareholder (File C/0671/15 PORTOBELLO), and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