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https://www.cnmc.es/expedientes/c067215</w:t>
      </w:r>
    </w:p>
    <w:p>
      <w:r>
        <w:t>Pages translated : 1</w:t>
      </w:r>
    </w:p>
    <w:p/>
    <w:p>
      <w:r>
        <w:rPr>
          <w:b/>
        </w:rPr>
        <w:t>[Pages 1–1]</w:t>
      </w:r>
    </w:p>
    <w:p>
      <w:r>
        <w:t>RESOLUTION</w:t>
        <w:br/>
        <w:t>C-0672/15 ITALFARMACO/EFFIK</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July 23, 2015</w:t>
        <w:br/>
        <w:t>Having reviewed the file processed in accordance with Law 15/2007, of July 3, on the Defense of Competition, consisting of the acquisition by ITALFARMACO, S.A. (ITALFARMACO), of exclusive control over the EFFIK Group (EFFIK) through the purchase of the shares that LICONSA currently holds in it through the CHEMO Group (C-0672/15 ITALFARMACO/EFFIK),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